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12305b"/>
          <w:sz w:val="32"/>
          <w:szCs w:val="32"/>
          <w:rtl w:val="0"/>
        </w:rPr>
        <w:t xml:space="preserve">1000 ISLANDS REGIONAL</w:t>
        <w:br w:type="textWrapping"/>
        <w:t xml:space="preserve">LOCAL DEVELOPMENT CORPORATION</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color w:val="527b2d"/>
          <w:sz w:val="40"/>
          <w:szCs w:val="40"/>
          <w:rtl w:val="0"/>
        </w:rPr>
        <w:t xml:space="preserve">INVESTMENT AND DEPOSIT POLICY</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i w:val="1"/>
          <w:iCs w:val="1"/>
          <w:color w:val="5a5a5a"/>
          <w:sz w:val="20"/>
          <w:szCs w:val="20"/>
          <w:rtl w:val="0"/>
        </w:rPr>
        <w:t xml:space="preserve">Board Draft for Consideration – September 2, 2026 </w:t>
      </w:r>
      <w:r w:rsidDel="00000000" w:rsidR="00000000" w:rsidRPr="00000000">
        <w:rPr>
          <w:rtl w:val="0"/>
        </w:rPr>
      </w:r>
    </w:p>
    <w:tbl>
      <w:tblPr>
        <w:tblStyle w:val="Table1"/>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83"/>
        <w:gridCol w:w="5083"/>
        <w:tblGridChange w:id="0">
          <w:tblGrid>
            <w:gridCol w:w="5083"/>
            <w:gridCol w:w="5083"/>
          </w:tblGrid>
        </w:tblGridChange>
      </w:tblGrid>
      <w:tr>
        <w:trPr>
          <w:cantSplit w:val="0"/>
          <w:tblHeader w:val="0"/>
        </w:trPr>
        <w:tc>
          <w:tcPr>
            <w:vAlign w:val="center"/>
          </w:tcPr>
          <w:p w:rsidR="00000000" w:rsidDel="00000000" w:rsidP="00000000" w:rsidRDefault="00000000" w:rsidRPr="00000000" w14:paraId="00000004">
            <w:pPr>
              <w:rPr/>
            </w:pPr>
            <w:r w:rsidDel="00000000" w:rsidR="00000000" w:rsidRPr="00000000">
              <w:rPr>
                <w:b w:val="1"/>
                <w:bCs w:val="1"/>
                <w:color w:val="12305b"/>
                <w:rtl w:val="0"/>
              </w:rPr>
              <w:t xml:space="preserve">Policy Owner</w:t>
            </w:r>
            <w:r w:rsidDel="00000000" w:rsidR="00000000" w:rsidRPr="00000000">
              <w:rPr>
                <w:rtl w:val="0"/>
              </w:rPr>
            </w:r>
          </w:p>
        </w:tc>
        <w:tc>
          <w:tcPr>
            <w:vAlign w:val="center"/>
          </w:tcPr>
          <w:p w:rsidR="00000000" w:rsidDel="00000000" w:rsidP="00000000" w:rsidRDefault="00000000" w:rsidRPr="00000000" w14:paraId="00000005">
            <w:pPr>
              <w:rPr/>
            </w:pPr>
            <w:r w:rsidDel="00000000" w:rsidR="00000000" w:rsidRPr="00000000">
              <w:rPr>
                <w:rtl w:val="0"/>
              </w:rPr>
              <w:t xml:space="preserve">Board of Directors</w:t>
            </w:r>
          </w:p>
        </w:tc>
      </w:tr>
      <w:tr>
        <w:trPr>
          <w:cantSplit w:val="0"/>
          <w:tblHeader w:val="0"/>
        </w:trPr>
        <w:tc>
          <w:tcPr>
            <w:vAlign w:val="center"/>
          </w:tcPr>
          <w:p w:rsidR="00000000" w:rsidDel="00000000" w:rsidP="00000000" w:rsidRDefault="00000000" w:rsidRPr="00000000" w14:paraId="00000006">
            <w:pPr>
              <w:rPr/>
            </w:pPr>
            <w:r w:rsidDel="00000000" w:rsidR="00000000" w:rsidRPr="00000000">
              <w:rPr>
                <w:b w:val="1"/>
                <w:bCs w:val="1"/>
                <w:color w:val="12305b"/>
                <w:rtl w:val="0"/>
              </w:rPr>
              <w:t xml:space="preserve">Administered By</w:t>
            </w:r>
            <w:r w:rsidDel="00000000" w:rsidR="00000000" w:rsidRPr="00000000">
              <w:rPr>
                <w:rtl w:val="0"/>
              </w:rPr>
            </w:r>
          </w:p>
        </w:tc>
        <w:tc>
          <w:tcPr>
            <w:vAlign w:val="center"/>
          </w:tcPr>
          <w:p w:rsidR="00000000" w:rsidDel="00000000" w:rsidP="00000000" w:rsidRDefault="00000000" w:rsidRPr="00000000" w14:paraId="00000007">
            <w:pPr>
              <w:rPr/>
            </w:pPr>
            <w:r w:rsidDel="00000000" w:rsidR="00000000" w:rsidRPr="00000000">
              <w:rPr>
                <w:rtl w:val="0"/>
              </w:rPr>
              <w:t xml:space="preserve">Treasurer / Board-designated Investment Officer</w:t>
            </w:r>
          </w:p>
        </w:tc>
      </w:tr>
      <w:tr>
        <w:trPr>
          <w:cantSplit w:val="0"/>
          <w:tblHeader w:val="0"/>
        </w:trPr>
        <w:tc>
          <w:tcPr>
            <w:vAlign w:val="center"/>
          </w:tcPr>
          <w:p w:rsidR="00000000" w:rsidDel="00000000" w:rsidP="00000000" w:rsidRDefault="00000000" w:rsidRPr="00000000" w14:paraId="00000008">
            <w:pPr>
              <w:rPr/>
            </w:pPr>
            <w:r w:rsidDel="00000000" w:rsidR="00000000" w:rsidRPr="00000000">
              <w:rPr>
                <w:b w:val="1"/>
                <w:bCs w:val="1"/>
                <w:color w:val="12305b"/>
                <w:rtl w:val="0"/>
              </w:rPr>
              <w:t xml:space="preserve">Effective Date</w:t>
            </w:r>
            <w:r w:rsidDel="00000000" w:rsidR="00000000" w:rsidRPr="00000000">
              <w:rPr>
                <w:rtl w:val="0"/>
              </w:rPr>
            </w:r>
          </w:p>
        </w:tc>
        <w:tc>
          <w:tcPr>
            <w:vAlign w:val="center"/>
          </w:tcPr>
          <w:p w:rsidR="00000000" w:rsidDel="00000000" w:rsidP="00000000" w:rsidRDefault="00000000" w:rsidRPr="00000000" w14:paraId="00000009">
            <w:pPr>
              <w:rPr/>
            </w:pPr>
            <w:r w:rsidDel="00000000" w:rsidR="00000000" w:rsidRPr="00000000">
              <w:rPr>
                <w:rtl w:val="0"/>
              </w:rPr>
              <w:t xml:space="preserve">September 2,  2026, upon Board adoption</w:t>
            </w:r>
          </w:p>
        </w:tc>
      </w:tr>
      <w:tr>
        <w:trPr>
          <w:cantSplit w:val="0"/>
          <w:tblHeader w:val="0"/>
        </w:trPr>
        <w:tc>
          <w:tcPr>
            <w:vAlign w:val="center"/>
          </w:tcPr>
          <w:p w:rsidR="00000000" w:rsidDel="00000000" w:rsidP="00000000" w:rsidRDefault="00000000" w:rsidRPr="00000000" w14:paraId="0000000A">
            <w:pPr>
              <w:rPr/>
            </w:pPr>
            <w:r w:rsidDel="00000000" w:rsidR="00000000" w:rsidRPr="00000000">
              <w:rPr>
                <w:b w:val="1"/>
                <w:bCs w:val="1"/>
                <w:color w:val="12305b"/>
                <w:rtl w:val="0"/>
              </w:rPr>
              <w:t xml:space="preserve">Review Cycle</w:t>
            </w:r>
            <w:r w:rsidDel="00000000" w:rsidR="00000000" w:rsidRPr="00000000">
              <w:rPr>
                <w:rtl w:val="0"/>
              </w:rPr>
            </w:r>
          </w:p>
        </w:tc>
        <w:tc>
          <w:tcPr>
            <w:vAlign w:val="center"/>
          </w:tcPr>
          <w:p w:rsidR="00000000" w:rsidDel="00000000" w:rsidP="00000000" w:rsidRDefault="00000000" w:rsidRPr="00000000" w14:paraId="0000000B">
            <w:pPr>
              <w:rPr/>
            </w:pPr>
            <w:r w:rsidDel="00000000" w:rsidR="00000000" w:rsidRPr="00000000">
              <w:rPr>
                <w:rtl w:val="0"/>
              </w:rPr>
              <w:t xml:space="preserve">At least annually</w:t>
            </w:r>
          </w:p>
        </w:tc>
      </w:tr>
    </w:tbl>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1"/>
        <w:rPr/>
      </w:pPr>
      <w:r w:rsidDel="00000000" w:rsidR="00000000" w:rsidRPr="00000000">
        <w:rPr>
          <w:rtl w:val="0"/>
        </w:rPr>
        <w:t xml:space="preserve">A. Purpose and Authority</w:t>
      </w:r>
    </w:p>
    <w:p w:rsidR="00000000" w:rsidDel="00000000" w:rsidP="00000000" w:rsidRDefault="00000000" w:rsidRPr="00000000" w14:paraId="0000000E">
      <w:pPr>
        <w:rPr/>
      </w:pPr>
      <w:r w:rsidDel="00000000" w:rsidR="00000000" w:rsidRPr="00000000">
        <w:rPr>
          <w:rtl w:val="0"/>
        </w:rPr>
        <w:t xml:space="preserve">This Policy establishes the 1000 Islands Regional Local Development Corporation’s guidelines for the deposit, investment, safeguarding, monitoring and reporting of Corporation funds. It is intended to preserve principal, maintain appropriate liquidity, provide reasonable investment return consistent with those objectives, and establish clear internal controls for a small, volunteer-led local development corporation.</w:t>
      </w:r>
    </w:p>
    <w:p w:rsidR="00000000" w:rsidDel="00000000" w:rsidP="00000000" w:rsidRDefault="00000000" w:rsidRPr="00000000" w14:paraId="0000000F">
      <w:pPr>
        <w:rPr/>
      </w:pPr>
      <w:r w:rsidDel="00000000" w:rsidR="00000000" w:rsidRPr="00000000">
        <w:rPr>
          <w:rtl w:val="0"/>
        </w:rPr>
        <w:t xml:space="preserve">This Policy is adopted pursuant to the Corporation’s Certificate of Incorporation, Bylaws, applicable provisions of the New York Public Authorities Law, including Section 2925, and other applicable legal, contractual and funding requirements. If a law, grant, financing document or other binding requirement imposes a stricter standard, the stricter standard controls.</w:t>
      </w:r>
    </w:p>
    <w:p w:rsidR="00000000" w:rsidDel="00000000" w:rsidP="00000000" w:rsidRDefault="00000000" w:rsidRPr="00000000" w14:paraId="00000010">
      <w:pPr>
        <w:pStyle w:val="Heading1"/>
        <w:rPr/>
      </w:pPr>
      <w:r w:rsidDel="00000000" w:rsidR="00000000" w:rsidRPr="00000000">
        <w:rPr>
          <w:rtl w:val="0"/>
        </w:rPr>
        <w:t xml:space="preserve">B. Investment Objectives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Safety of principal and protection of Corporation funds shall be the first priority.</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Liquidity shall be maintained so that funds are available when needed for authorized Corporation purposes.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Investment return shall be considered only after safety and liquidity requirements are satisfied.</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Investments and deposits shall be diversified when practical to reduce concentration and counterparty risk.</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All activity shall be conducted transparently, with adequate records, approvals and independent review.</w:t>
      </w:r>
    </w:p>
    <w:p w:rsidR="00000000" w:rsidDel="00000000" w:rsidP="00000000" w:rsidRDefault="00000000" w:rsidRPr="00000000" w14:paraId="00000016">
      <w:pPr>
        <w:pStyle w:val="Heading1"/>
        <w:rPr/>
      </w:pPr>
      <w:r w:rsidDel="00000000" w:rsidR="00000000" w:rsidRPr="00000000">
        <w:rPr>
          <w:rtl w:val="0"/>
        </w:rPr>
        <w:t xml:space="preserve">C. Responsibility and Delegation</w:t>
      </w:r>
    </w:p>
    <w:p w:rsidR="00000000" w:rsidDel="00000000" w:rsidP="00000000" w:rsidRDefault="00000000" w:rsidRPr="00000000" w14:paraId="00000017">
      <w:pPr>
        <w:pStyle w:val="Heading2"/>
        <w:rPr/>
      </w:pPr>
      <w:r w:rsidDel="00000000" w:rsidR="00000000" w:rsidRPr="00000000">
        <w:rPr>
          <w:rtl w:val="0"/>
        </w:rPr>
        <w:t xml:space="preserve">1. Board of Directors</w:t>
      </w:r>
    </w:p>
    <w:p w:rsidR="00000000" w:rsidDel="00000000" w:rsidP="00000000" w:rsidRDefault="00000000" w:rsidRPr="00000000" w14:paraId="00000018">
      <w:pPr>
        <w:rPr/>
      </w:pPr>
      <w:r w:rsidDel="00000000" w:rsidR="00000000" w:rsidRPr="00000000">
        <w:rPr>
          <w:rtl w:val="0"/>
        </w:rPr>
        <w:t xml:space="preserve">The Board retains ultimate responsibility for Corporation funds. The Board shall approve this Policy and review it at least annually; approve authorized depositories and material investment relationships; designate an Investment Officer; and establish signatory, transfer and other financial-control requirements by resolution or policy.</w:t>
      </w:r>
    </w:p>
    <w:p w:rsidR="00000000" w:rsidDel="00000000" w:rsidP="00000000" w:rsidRDefault="00000000" w:rsidRPr="00000000" w14:paraId="00000019">
      <w:pPr>
        <w:pStyle w:val="Heading2"/>
        <w:rPr/>
      </w:pPr>
      <w:r w:rsidDel="00000000" w:rsidR="00000000" w:rsidRPr="00000000">
        <w:rPr>
          <w:rtl w:val="0"/>
        </w:rPr>
        <w:t xml:space="preserve">2. Treasurer / Investment Officer</w:t>
      </w:r>
    </w:p>
    <w:p w:rsidR="00000000" w:rsidDel="00000000" w:rsidP="00000000" w:rsidRDefault="00000000" w:rsidRPr="00000000" w14:paraId="0000001A">
      <w:pPr>
        <w:rPr/>
      </w:pPr>
      <w:r w:rsidDel="00000000" w:rsidR="00000000" w:rsidRPr="00000000">
        <w:rPr>
          <w:rtl w:val="0"/>
        </w:rPr>
        <w:t xml:space="preserve">The Treasurer, or another person designated by the Board as Investment Officer, shall administer this Policy within the authority granted by the Board. The Investment Officer shall not make an investment or transfer outside the scope of this Policy or a specific Board authorization.</w:t>
      </w:r>
    </w:p>
    <w:p w:rsidR="00000000" w:rsidDel="00000000" w:rsidP="00000000" w:rsidRDefault="00000000" w:rsidRPr="00000000" w14:paraId="0000001B">
      <w:pPr>
        <w:pStyle w:val="Heading2"/>
        <w:rPr/>
      </w:pPr>
      <w:r w:rsidDel="00000000" w:rsidR="00000000" w:rsidRPr="00000000">
        <w:rPr>
          <w:rtl w:val="0"/>
        </w:rPr>
        <w:t xml:space="preserve">3. Audit &amp; Finance Committee</w:t>
      </w:r>
    </w:p>
    <w:p w:rsidR="00000000" w:rsidDel="00000000" w:rsidP="00000000" w:rsidRDefault="00000000" w:rsidRPr="00000000" w14:paraId="0000001C">
      <w:pPr>
        <w:rPr/>
      </w:pPr>
      <w:r w:rsidDel="00000000" w:rsidR="00000000" w:rsidRPr="00000000">
        <w:rPr>
          <w:rtl w:val="0"/>
        </w:rPr>
        <w:t xml:space="preserve">The Audit &amp; Finance Committee shall review investment reports, banking and cash-management controls, the annual independent audit of investment practices, and any material exceptions or findings, and shall make recommendations to the Board as appropriate.</w:t>
      </w:r>
    </w:p>
    <w:p w:rsidR="00000000" w:rsidDel="00000000" w:rsidP="00000000" w:rsidRDefault="00000000" w:rsidRPr="00000000" w14:paraId="0000001D">
      <w:pPr>
        <w:pStyle w:val="Heading1"/>
        <w:rPr/>
      </w:pPr>
      <w:r w:rsidDel="00000000" w:rsidR="00000000" w:rsidRPr="00000000">
        <w:rPr>
          <w:rtl w:val="0"/>
        </w:rPr>
        <w:t xml:space="preserve">D. Authorized Depositories and Custody</w:t>
      </w:r>
    </w:p>
    <w:p w:rsidR="00000000" w:rsidDel="00000000" w:rsidP="00000000" w:rsidRDefault="00000000" w:rsidRPr="00000000" w14:paraId="0000001E">
      <w:pPr>
        <w:rPr/>
      </w:pPr>
      <w:r w:rsidDel="00000000" w:rsidR="00000000" w:rsidRPr="00000000">
        <w:rPr>
          <w:rtl w:val="0"/>
        </w:rPr>
        <w:t xml:space="preserve">Corporation funds shall be deposited only with financial institutions or other depositories approved by the Board and permitted by applicable law. The Board may consider financial strength, deposit insurance or collateral protection, service capability, fees, cybersecurity controls and the Corporation’s operational needs.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Accounts shall be maintained in the legal name of the Corporation.</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Online banking access shall use individual credentials and multifactor authentication where available.</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Authorized signers and electronic banking roles shall be established by Board resolution and reviewed after officer changes and at least annually.</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Bank statements shall be reconciled regularly, with independent review to the extent practical for the Corporation’s size and staffing model.</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No person shall approve that person’s own reimbursement, compensation payment or conflicted transaction.</w:t>
      </w:r>
    </w:p>
    <w:p w:rsidR="00000000" w:rsidDel="00000000" w:rsidP="00000000" w:rsidRDefault="00000000" w:rsidRPr="00000000" w14:paraId="00000024">
      <w:pPr>
        <w:pStyle w:val="Heading1"/>
        <w:rPr/>
      </w:pPr>
      <w:r w:rsidDel="00000000" w:rsidR="00000000" w:rsidRPr="00000000">
        <w:rPr>
          <w:rtl w:val="0"/>
        </w:rPr>
        <w:t xml:space="preserve">E. Permitted Investments</w:t>
      </w:r>
    </w:p>
    <w:p w:rsidR="00000000" w:rsidDel="00000000" w:rsidP="00000000" w:rsidRDefault="00000000" w:rsidRPr="00000000" w14:paraId="00000025">
      <w:pPr>
        <w:rPr/>
      </w:pPr>
      <w:r w:rsidDel="00000000" w:rsidR="00000000" w:rsidRPr="00000000">
        <w:rPr>
          <w:rtl w:val="0"/>
        </w:rPr>
        <w:t xml:space="preserve">Corporation funds may be invested only in instruments that are lawful for the Corporation and consistent with any applicable bond, grant, contract or funding restriction. Until the Board expressly authorizes a broader investment program, the Corporation shall use a conservative approach limited to the following, to the extent legally permissible:</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Demand deposit, savings, money-market deposit and certificate-of-deposit accounts at Board-approved financial institutions, subject to applicable insurance or collateral requirements.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Direct obligations of the United States government and obligations whose principal and interest are fully guaranteed by the United States government.</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Obligations of New York State or other governmental obligations expressly permitted for the Corporation by applicable law.</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Other investments specifically approved by the Board after review by counsel and, when appropriate, the Corporation’s financial advisor or auditor.</w:t>
      </w:r>
    </w:p>
    <w:p w:rsidR="00000000" w:rsidDel="00000000" w:rsidP="00000000" w:rsidRDefault="00000000" w:rsidRPr="00000000" w14:paraId="0000002A">
      <w:pPr>
        <w:rPr/>
      </w:pPr>
      <w:r w:rsidDel="00000000" w:rsidR="00000000" w:rsidRPr="00000000">
        <w:rPr>
          <w:rtl w:val="0"/>
        </w:rPr>
        <w:t xml:space="preserve">The Corporation shall not engage in speculative trading, leverage, derivatives, short sales, commodities, cryptocurrency, equity securities, or other higher-risk investments unless specifically authorized by applicable law and separately approved by the Board after professional review.</w:t>
      </w:r>
    </w:p>
    <w:p w:rsidR="00000000" w:rsidDel="00000000" w:rsidP="00000000" w:rsidRDefault="00000000" w:rsidRPr="00000000" w14:paraId="0000002B">
      <w:pPr>
        <w:pStyle w:val="Heading1"/>
        <w:rPr/>
      </w:pPr>
      <w:r w:rsidDel="00000000" w:rsidR="00000000" w:rsidRPr="00000000">
        <w:rPr>
          <w:rtl w:val="0"/>
        </w:rPr>
        <w:t xml:space="preserve">F. Security, Collateral and Written Agreements</w:t>
      </w:r>
    </w:p>
    <w:p w:rsidR="00000000" w:rsidDel="00000000" w:rsidP="00000000" w:rsidRDefault="00000000" w:rsidRPr="00000000" w14:paraId="0000002C">
      <w:pPr>
        <w:rPr/>
      </w:pPr>
      <w:r w:rsidDel="00000000" w:rsidR="00000000" w:rsidRPr="00000000">
        <w:rPr>
          <w:rtl w:val="0"/>
        </w:rPr>
        <w:t xml:space="preserve">The Corporation’s financial interest in deposits and investments shall be secured to the extent required by applicable law and this Policy. Written agreements shall be used where required by law or where customary and practical. Agreements and procedures shall address, as applicable, collateral or insurance, valuation and monitoring of collateral, custody, control, title or security interest, and the responsibilities of the financial institution or custodian.</w:t>
      </w:r>
    </w:p>
    <w:p w:rsidR="00000000" w:rsidDel="00000000" w:rsidP="00000000" w:rsidRDefault="00000000" w:rsidRPr="00000000" w14:paraId="0000002D">
      <w:pPr>
        <w:rPr/>
      </w:pPr>
      <w:r w:rsidDel="00000000" w:rsidR="00000000" w:rsidRPr="00000000">
        <w:rPr>
          <w:rtl w:val="0"/>
        </w:rPr>
        <w:t xml:space="preserve">When collateral is required, the Investment Officer shall obtain and retain documentation sufficient to demonstrate the Corporation’s protected interest and shall periodically verify compliance. Custody arrangements shall be structured to avoid unnecessary conflicts between the seller of an investment and the custodian of that investment.</w:t>
      </w:r>
    </w:p>
    <w:p w:rsidR="00000000" w:rsidDel="00000000" w:rsidP="00000000" w:rsidRDefault="00000000" w:rsidRPr="00000000" w14:paraId="0000002E">
      <w:pPr>
        <w:pStyle w:val="Heading1"/>
        <w:rPr/>
      </w:pPr>
      <w:r w:rsidDel="00000000" w:rsidR="00000000" w:rsidRPr="00000000">
        <w:rPr>
          <w:rtl w:val="0"/>
        </w:rPr>
        <w:t xml:space="preserve">G. Diversification and Counterparty Standards</w:t>
      </w:r>
    </w:p>
    <w:p w:rsidR="00000000" w:rsidDel="00000000" w:rsidP="00000000" w:rsidRDefault="00000000" w:rsidRPr="00000000" w14:paraId="0000002F">
      <w:pPr>
        <w:rPr/>
      </w:pPr>
      <w:r w:rsidDel="00000000" w:rsidR="00000000" w:rsidRPr="00000000">
        <w:rPr>
          <w:rtl w:val="0"/>
        </w:rPr>
        <w:t xml:space="preserve">The Corporation shall avoid unnecessary concentration of funds in a single investment type, maturity or financial institution when diversification is reasonably practical. The Board or Investment Officer shall consider the amount and expected duration of funds, liquidity needs, insurance or collateral limits, and the financial condition and qualifications of counterparties.</w:t>
      </w:r>
    </w:p>
    <w:p w:rsidR="00000000" w:rsidDel="00000000" w:rsidP="00000000" w:rsidRDefault="00000000" w:rsidRPr="00000000" w14:paraId="00000030">
      <w:pPr>
        <w:rPr/>
      </w:pPr>
      <w:r w:rsidDel="00000000" w:rsidR="00000000" w:rsidRPr="00000000">
        <w:rPr>
          <w:rtl w:val="0"/>
        </w:rPr>
        <w:t xml:space="preserve">Investment bankers, brokers, agents, dealers, advisers, custodians or other investment-related firms shall be selected based on qualifications such as reliability, experience, capitalization, regulatory standing, service capability and cost. Selection shall also comply with the Corporation’s Procurement Policy when applicable.</w:t>
      </w:r>
    </w:p>
    <w:p w:rsidR="00000000" w:rsidDel="00000000" w:rsidP="00000000" w:rsidRDefault="00000000" w:rsidRPr="00000000" w14:paraId="00000031">
      <w:pPr>
        <w:pStyle w:val="Heading1"/>
        <w:rPr/>
      </w:pPr>
      <w:r w:rsidDel="00000000" w:rsidR="00000000" w:rsidRPr="00000000">
        <w:rPr>
          <w:rtl w:val="0"/>
        </w:rPr>
        <w:t xml:space="preserve">H. Internal Controls and Transactions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All deposits, withdrawals, investments and transfers shall be supported by appropriate documentation and made only for lawful Corporation purposes.</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Electronic transfers shall use dual initiation/approval where required by Board resolution or where the banking platform reasonably supports dual control.</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Investment maturities shall be coordinated with expected cash needs.</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Corporation shall maintain records showing the institution, instrument, amount, purchase date, maturity date, interest rate or yield, income earned, fees and disposition of each investment.</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Any deviation from this Policy shall be promptly reported to the Chairperson, Treasurer and Audit &amp; Finance Committee and brought to the Board when material.</w:t>
      </w:r>
    </w:p>
    <w:p w:rsidR="00000000" w:rsidDel="00000000" w:rsidP="00000000" w:rsidRDefault="00000000" w:rsidRPr="00000000" w14:paraId="00000037">
      <w:pPr>
        <w:pStyle w:val="Heading1"/>
        <w:rPr/>
      </w:pPr>
      <w:r w:rsidDel="00000000" w:rsidR="00000000" w:rsidRPr="00000000">
        <w:rPr>
          <w:rtl w:val="0"/>
        </w:rPr>
        <w:t xml:space="preserve">I. Reporting and Annual Investment Report</w:t>
      </w:r>
    </w:p>
    <w:p w:rsidR="00000000" w:rsidDel="00000000" w:rsidP="00000000" w:rsidRDefault="00000000" w:rsidRPr="00000000" w14:paraId="00000038">
      <w:pPr>
        <w:rPr/>
      </w:pPr>
      <w:r w:rsidDel="00000000" w:rsidR="00000000" w:rsidRPr="00000000">
        <w:rPr>
          <w:rtl w:val="0"/>
        </w:rPr>
        <w:t xml:space="preserve">The Investment Officer shall provide the Board with periodic reports, at least quarterly unless the Board approves another lawful reporting period, describing new investments, the inventory of existing investments, investment income, material changes in depositories or investment service providers, and any exceptions or concerns.</w:t>
      </w:r>
    </w:p>
    <w:p w:rsidR="00000000" w:rsidDel="00000000" w:rsidP="00000000" w:rsidRDefault="00000000" w:rsidRPr="00000000" w14:paraId="00000039">
      <w:pPr>
        <w:rPr/>
      </w:pPr>
      <w:r w:rsidDel="00000000" w:rsidR="00000000" w:rsidRPr="00000000">
        <w:rPr>
          <w:rtl w:val="0"/>
        </w:rPr>
        <w:t xml:space="preserve">After each fiscal year, the Corporation shall prepare and approve an annual investment report containing the information required by applicable law, including the current investment guidelines, amendments made since the prior report, an explanation of the guidelines and amendments, investment income, investment-related fees or charges, and the results of the annual independent audit of investment practices. The report may be incorporated into another annual report when permitted.</w:t>
      </w:r>
    </w:p>
    <w:p w:rsidR="00000000" w:rsidDel="00000000" w:rsidP="00000000" w:rsidRDefault="00000000" w:rsidRPr="00000000" w14:paraId="0000003A">
      <w:pPr>
        <w:pStyle w:val="Heading1"/>
        <w:rPr/>
      </w:pPr>
      <w:r w:rsidDel="00000000" w:rsidR="00000000" w:rsidRPr="00000000">
        <w:rPr>
          <w:rtl w:val="0"/>
        </w:rPr>
        <w:t xml:space="preserve">J. Independent Audit of Investment Practices</w:t>
      </w:r>
    </w:p>
    <w:p w:rsidR="00000000" w:rsidDel="00000000" w:rsidP="00000000" w:rsidRDefault="00000000" w:rsidRPr="00000000" w14:paraId="0000003B">
      <w:pPr>
        <w:rPr/>
      </w:pPr>
      <w:r w:rsidDel="00000000" w:rsidR="00000000" w:rsidRPr="00000000">
        <w:rPr>
          <w:rtl w:val="0"/>
        </w:rPr>
        <w:t xml:space="preserve">The Corporation shall obtain the independent review or audit of investment practices required by applicable law. The review shall address compliance with this Policy and applicable requirements, safeguarding of investment assets, adequacy of records and internal controls, and any material noncompliance, weakness or deficiency. The results shall be made available to the Board and Audit &amp; Finance Committee in connection with the annual review of this Policy.</w:t>
      </w:r>
    </w:p>
    <w:p w:rsidR="00000000" w:rsidDel="00000000" w:rsidP="00000000" w:rsidRDefault="00000000" w:rsidRPr="00000000" w14:paraId="0000003C">
      <w:pPr>
        <w:pStyle w:val="Heading1"/>
        <w:rPr/>
      </w:pPr>
      <w:r w:rsidDel="00000000" w:rsidR="00000000" w:rsidRPr="00000000">
        <w:rPr>
          <w:rtl w:val="0"/>
        </w:rPr>
        <w:t xml:space="preserve">K. Ethics and Conflicts of Interest</w:t>
      </w:r>
    </w:p>
    <w:p w:rsidR="00000000" w:rsidDel="00000000" w:rsidP="00000000" w:rsidRDefault="00000000" w:rsidRPr="00000000" w14:paraId="0000003D">
      <w:pPr>
        <w:rPr/>
      </w:pPr>
      <w:r w:rsidDel="00000000" w:rsidR="00000000" w:rsidRPr="00000000">
        <w:rPr>
          <w:rtl w:val="0"/>
        </w:rPr>
        <w:t xml:space="preserve">Directors, officers and other persons participating in deposit or investment decisions shall comply with the Corporation’s Code of Ethics and Conflict of Interest and Related Party Transactions Policy. No person may use Corporation investment activity for personal benefit or participate in a decision in which that person has a prohibited conflict of interest.</w:t>
      </w:r>
    </w:p>
    <w:p w:rsidR="00000000" w:rsidDel="00000000" w:rsidP="00000000" w:rsidRDefault="00000000" w:rsidRPr="00000000" w14:paraId="0000003E">
      <w:pPr>
        <w:pStyle w:val="Heading1"/>
        <w:rPr/>
      </w:pPr>
      <w:r w:rsidDel="00000000" w:rsidR="00000000" w:rsidRPr="00000000">
        <w:rPr>
          <w:rtl w:val="0"/>
        </w:rPr>
        <w:t xml:space="preserve">L. Annual Review and Amendments</w:t>
      </w:r>
    </w:p>
    <w:p w:rsidR="00000000" w:rsidDel="00000000" w:rsidP="00000000" w:rsidRDefault="00000000" w:rsidRPr="00000000" w14:paraId="0000003F">
      <w:pPr>
        <w:rPr/>
      </w:pPr>
      <w:r w:rsidDel="00000000" w:rsidR="00000000" w:rsidRPr="00000000">
        <w:rPr>
          <w:rtl w:val="0"/>
        </w:rPr>
        <w:t xml:space="preserve">The Board shall review and approve this Policy at least annually and may amend it by resolution. The Audit &amp; Finance Committee, Treasurer, Investment Officer, independent auditor and Corporation counsel may recommend amendments when legal requirements, financial conditions, operating needs or audit findings warrant changes.</w:t>
      </w:r>
    </w:p>
    <w:p w:rsidR="00000000" w:rsidDel="00000000" w:rsidP="00000000" w:rsidRDefault="00000000" w:rsidRPr="00000000" w14:paraId="00000040">
      <w:pPr>
        <w:pStyle w:val="Heading1"/>
        <w:rPr/>
      </w:pPr>
      <w:r w:rsidDel="00000000" w:rsidR="00000000" w:rsidRPr="00000000">
        <w:rPr>
          <w:rtl w:val="0"/>
        </w:rPr>
        <w:t xml:space="preserve">CERTIFICATION OF ADOPTION</w:t>
      </w:r>
    </w:p>
    <w:p w:rsidR="00000000" w:rsidDel="00000000" w:rsidP="00000000" w:rsidRDefault="00000000" w:rsidRPr="00000000" w14:paraId="00000041">
      <w:pPr>
        <w:rPr/>
      </w:pPr>
      <w:r w:rsidDel="00000000" w:rsidR="00000000" w:rsidRPr="00000000">
        <w:rPr>
          <w:rtl w:val="0"/>
        </w:rPr>
        <w:t xml:space="preserve">The undersigned certifies that the foregoing Investment and Deposit Policy was approved and adopted by the Board of Directors of the 1000 Islands Regional Local Development Corporation on September 2, 2026. </w:t>
      </w:r>
    </w:p>
    <w:tbl>
      <w:tblPr>
        <w:tblStyle w:val="Table2"/>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83"/>
        <w:gridCol w:w="5083"/>
        <w:tblGridChange w:id="0">
          <w:tblGrid>
            <w:gridCol w:w="5083"/>
            <w:gridCol w:w="5083"/>
          </w:tblGrid>
        </w:tblGridChange>
      </w:tblGrid>
      <w:tr>
        <w:trPr>
          <w:cantSplit w:val="0"/>
          <w:tblHeader w:val="0"/>
        </w:trPr>
        <w:tc>
          <w:tcPr/>
          <w:p w:rsidR="00000000" w:rsidDel="00000000" w:rsidP="00000000" w:rsidRDefault="00000000" w:rsidRPr="00000000" w14:paraId="00000042">
            <w:pPr>
              <w:rPr/>
            </w:pPr>
            <w:r w:rsidDel="00000000" w:rsidR="00000000" w:rsidRPr="00000000">
              <w:rPr>
                <w:b w:val="1"/>
                <w:bCs w:val="1"/>
                <w:rtl w:val="0"/>
              </w:rPr>
              <w:t xml:space="preserve">Motion by:</w:t>
            </w:r>
            <w:r w:rsidDel="00000000" w:rsidR="00000000" w:rsidRPr="00000000">
              <w:rPr>
                <w:rtl w:val="0"/>
              </w:rPr>
            </w:r>
          </w:p>
        </w:tc>
        <w:tc>
          <w:tcPr/>
          <w:p w:rsidR="00000000" w:rsidDel="00000000" w:rsidP="00000000" w:rsidRDefault="00000000" w:rsidRPr="00000000" w14:paraId="00000043">
            <w:pPr>
              <w:rPr/>
            </w:pPr>
            <w:r w:rsidDel="00000000" w:rsidR="00000000" w:rsidRPr="00000000">
              <w:rPr>
                <w:rtl w:val="0"/>
              </w:rPr>
            </w:r>
          </w:p>
        </w:tc>
      </w:tr>
      <w:tr>
        <w:trPr>
          <w:cantSplit w:val="0"/>
          <w:tblHeader w:val="0"/>
        </w:trPr>
        <w:tc>
          <w:tcPr/>
          <w:p w:rsidR="00000000" w:rsidDel="00000000" w:rsidP="00000000" w:rsidRDefault="00000000" w:rsidRPr="00000000" w14:paraId="00000044">
            <w:pPr>
              <w:rPr/>
            </w:pPr>
            <w:r w:rsidDel="00000000" w:rsidR="00000000" w:rsidRPr="00000000">
              <w:rPr>
                <w:b w:val="1"/>
                <w:bCs w:val="1"/>
                <w:rtl w:val="0"/>
              </w:rPr>
              <w:t xml:space="preserve">Seconded by:</w:t>
            </w:r>
            <w:r w:rsidDel="00000000" w:rsidR="00000000" w:rsidRPr="00000000">
              <w:rPr>
                <w:rtl w:val="0"/>
              </w:rPr>
            </w:r>
          </w:p>
        </w:tc>
        <w:tc>
          <w:tcPr/>
          <w:p w:rsidR="00000000" w:rsidDel="00000000" w:rsidP="00000000" w:rsidRDefault="00000000" w:rsidRPr="00000000" w14:paraId="00000045">
            <w:pPr>
              <w:rPr/>
            </w:pPr>
            <w:r w:rsidDel="00000000" w:rsidR="00000000" w:rsidRPr="00000000">
              <w:rPr>
                <w:rtl w:val="0"/>
              </w:rPr>
            </w:r>
          </w:p>
        </w:tc>
      </w:tr>
      <w:tr>
        <w:trPr>
          <w:cantSplit w:val="0"/>
          <w:tblHeader w:val="0"/>
        </w:trPr>
        <w:tc>
          <w:tcPr/>
          <w:p w:rsidR="00000000" w:rsidDel="00000000" w:rsidP="00000000" w:rsidRDefault="00000000" w:rsidRPr="00000000" w14:paraId="00000046">
            <w:pPr>
              <w:rPr/>
            </w:pPr>
            <w:r w:rsidDel="00000000" w:rsidR="00000000" w:rsidRPr="00000000">
              <w:rPr>
                <w:b w:val="1"/>
                <w:bCs w:val="1"/>
                <w:rtl w:val="0"/>
              </w:rPr>
              <w:t xml:space="preserve">Vote:</w:t>
            </w:r>
            <w:r w:rsidDel="00000000" w:rsidR="00000000" w:rsidRPr="00000000">
              <w:rPr>
                <w:rtl w:val="0"/>
              </w:rPr>
            </w:r>
          </w:p>
        </w:tc>
        <w:tc>
          <w:tcPr/>
          <w:p w:rsidR="00000000" w:rsidDel="00000000" w:rsidP="00000000" w:rsidRDefault="00000000" w:rsidRPr="00000000" w14:paraId="00000047">
            <w:pPr>
              <w:rPr/>
            </w:pPr>
            <w:r w:rsidDel="00000000" w:rsidR="00000000" w:rsidRPr="00000000">
              <w:rPr>
                <w:rtl w:val="0"/>
              </w:rPr>
            </w:r>
          </w:p>
        </w:tc>
      </w:tr>
      <w:tr>
        <w:trPr>
          <w:cantSplit w:val="0"/>
          <w:tblHeader w:val="0"/>
        </w:trPr>
        <w:tc>
          <w:tcPr/>
          <w:p w:rsidR="00000000" w:rsidDel="00000000" w:rsidP="00000000" w:rsidRDefault="00000000" w:rsidRPr="00000000" w14:paraId="00000048">
            <w:pPr>
              <w:rPr/>
            </w:pPr>
            <w:r w:rsidDel="00000000" w:rsidR="00000000" w:rsidRPr="00000000">
              <w:rPr>
                <w:b w:val="1"/>
                <w:bCs w:val="1"/>
                <w:rtl w:val="0"/>
              </w:rPr>
              <w:t xml:space="preserve">Secretary certification:</w:t>
            </w:r>
            <w:r w:rsidDel="00000000" w:rsidR="00000000" w:rsidRPr="00000000">
              <w:rPr>
                <w:rtl w:val="0"/>
              </w:rPr>
            </w:r>
          </w:p>
        </w:tc>
        <w:tc>
          <w:tcPr/>
          <w:p w:rsidR="00000000" w:rsidDel="00000000" w:rsidP="00000000" w:rsidRDefault="00000000" w:rsidRPr="00000000" w14:paraId="00000049">
            <w:pPr>
              <w:rPr/>
            </w:pPr>
            <w:r w:rsidDel="00000000" w:rsidR="00000000" w:rsidRPr="00000000">
              <w:rPr>
                <w:rtl w:val="0"/>
              </w:rPr>
            </w:r>
          </w:p>
        </w:tc>
      </w:tr>
    </w:tbl>
    <w:p w:rsidR="00000000" w:rsidDel="00000000" w:rsidP="00000000" w:rsidRDefault="00000000" w:rsidRPr="00000000" w14:paraId="0000004A">
      <w:pPr>
        <w:spacing w:before="200" w:lineRule="auto"/>
        <w:rPr/>
      </w:pPr>
      <w:r w:rsidDel="00000000" w:rsidR="00000000" w:rsidRPr="00000000">
        <w:rPr>
          <w:b w:val="1"/>
          <w:bCs w:val="1"/>
          <w:color w:val="12305b"/>
          <w:rtl w:val="0"/>
        </w:rPr>
        <w:t xml:space="preserve">Board and counsel review note: </w:t>
      </w:r>
      <w:r w:rsidDel="00000000" w:rsidR="00000000" w:rsidRPr="00000000">
        <w:rPr>
          <w:rtl w:val="0"/>
        </w:rPr>
        <w:t xml:space="preserve">This policy is intended as a practical governance document for the Corporation. Before adoption, counsel and the Corporation’s auditor should confirm the permitted-investment language, collateral requirements, filing destinations and audit procedures applicable to the Corporation’s specific legal and financial circumstances.</w:t>
      </w:r>
    </w:p>
    <w:sectPr>
      <w:footerReference r:id="rId7" w:type="default"/>
      <w:pgSz w:h="15840" w:w="12240" w:orient="portrait"/>
      <w:pgMar w:bottom="936" w:top="936" w:left="1037" w:right="103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5a5a5a"/>
        <w:sz w:val="16"/>
        <w:szCs w:val="16"/>
        <w:u w:val="none"/>
        <w:shd w:fill="auto" w:val="clear"/>
        <w:vertAlign w:val="baseline"/>
        <w:rtl w:val="0"/>
      </w:rPr>
      <w:t xml:space="preserve">1000 Islands Regional Local Development Corporation  |  Investment and Deposit Policy  |  2026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10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12305b"/>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12305b"/>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1n9Rq+6a/4A0uk4KsXNMQjjUog==">CgMxLjA4AHIhMW14UzJyMHFYMkQ1c2VWZUdMODVndXFGOEVnTU1OR1Fw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2026-08-25T15:35:00Z</dcterms:created>
  <dc:creator>python-docx</dc:creator>
</cp:coreProperties>
</file>